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rsidTr="00E16788">
        <w:tc>
          <w:tcPr>
            <w:tcW w:w="1621" w:type="dxa"/>
            <w:tcMar>
              <w:left w:w="0" w:type="dxa"/>
              <w:right w:w="0" w:type="dxa"/>
            </w:tcMar>
          </w:tcPr>
          <w:p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rsidR="00E16788" w:rsidRDefault="00E16788" w:rsidP="00D622F0">
      <w:pPr>
        <w:widowControl w:val="0"/>
        <w:autoSpaceDE w:val="0"/>
        <w:autoSpaceDN w:val="0"/>
        <w:adjustRightInd w:val="0"/>
        <w:rPr>
          <w:b/>
          <w:bCs/>
          <w:color w:val="000000"/>
        </w:rPr>
      </w:pPr>
    </w:p>
    <w:p w:rsidR="00E16788" w:rsidRDefault="00E16788" w:rsidP="00D622F0">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w:t>
      </w:r>
      <w:r w:rsidR="00E16788">
        <w:rPr>
          <w:b/>
          <w:bCs/>
          <w:color w:val="000000"/>
        </w:rPr>
        <w:t>4</w:t>
      </w:r>
      <w:r>
        <w:rPr>
          <w:b/>
          <w:bCs/>
          <w:color w:val="000000"/>
        </w:rPr>
        <w:t>.2019</w:t>
      </w:r>
      <w:r w:rsidR="001235AC">
        <w:rPr>
          <w:b/>
          <w:bCs/>
          <w:color w:val="000000"/>
        </w:rPr>
        <w:t>.RPOWŚ</w:t>
      </w:r>
      <w:r w:rsidR="00D622F0" w:rsidRPr="00D622F0">
        <w:rPr>
          <w:b/>
          <w:bCs/>
          <w:color w:val="000000"/>
        </w:rPr>
        <w:t xml:space="preserve">                                                           </w:t>
      </w:r>
      <w:r>
        <w:rPr>
          <w:b/>
          <w:bCs/>
          <w:color w:val="000000"/>
        </w:rPr>
        <w:t xml:space="preserve">            Fałków, 2019</w:t>
      </w:r>
      <w:r w:rsidR="00D622F0" w:rsidRPr="00D622F0">
        <w:rPr>
          <w:b/>
          <w:bCs/>
          <w:color w:val="000000"/>
        </w:rPr>
        <w:t>-0</w:t>
      </w:r>
      <w:r w:rsidR="001145B1">
        <w:rPr>
          <w:b/>
          <w:bCs/>
          <w:color w:val="000000"/>
        </w:rPr>
        <w:t>5</w:t>
      </w:r>
      <w:r w:rsidR="00D622F0" w:rsidRPr="00D622F0">
        <w:rPr>
          <w:b/>
          <w:bCs/>
          <w:color w:val="000000"/>
        </w:rPr>
        <w:t>-</w:t>
      </w:r>
      <w:r w:rsidR="001145B1">
        <w:rPr>
          <w:b/>
          <w:bCs/>
          <w:color w:val="000000"/>
        </w:rPr>
        <w:t>02</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bookmarkStart w:id="1" w:name="_Hlk7696146"/>
      <w:r w:rsidRPr="009A57EE">
        <w:rPr>
          <w:color w:val="000000"/>
          <w:sz w:val="24"/>
        </w:rPr>
        <w:t>„</w:t>
      </w:r>
      <w:bookmarkStart w:id="2" w:name="_Hlk7680616"/>
      <w:r w:rsidR="00B71246" w:rsidRPr="00B71246">
        <w:rPr>
          <w:b/>
          <w:bCs/>
          <w:iCs/>
          <w:color w:val="000000"/>
          <w:sz w:val="24"/>
        </w:rPr>
        <w:t xml:space="preserve">Przebudowa </w:t>
      </w:r>
      <w:bookmarkEnd w:id="2"/>
      <w:r w:rsidR="00412F70">
        <w:rPr>
          <w:b/>
          <w:bCs/>
          <w:iCs/>
          <w:color w:val="000000"/>
          <w:sz w:val="24"/>
        </w:rPr>
        <w:t>infrastruktury drogowej na ul. Plac Kościelny, ul. Ogrodowej, ul. Zamkowej i ul. Spacerowej oraz na terenie osiedla mieszkaniowego w Fałkowie</w:t>
      </w:r>
      <w:r w:rsidRPr="009A57EE">
        <w:rPr>
          <w:b/>
          <w:bCs/>
          <w:iCs/>
          <w:color w:val="000000"/>
          <w:sz w:val="24"/>
        </w:rPr>
        <w:t>”</w:t>
      </w:r>
    </w:p>
    <w:bookmarkEnd w:id="1"/>
    <w:p w:rsidR="00EC4392" w:rsidRPr="009A57EE" w:rsidRDefault="00EC4392" w:rsidP="00EC4392">
      <w:pPr>
        <w:widowControl w:val="0"/>
        <w:autoSpaceDE w:val="0"/>
        <w:autoSpaceDN w:val="0"/>
        <w:adjustRightInd w:val="0"/>
        <w:jc w:val="both"/>
        <w:rPr>
          <w:bCs/>
          <w:color w:val="000000"/>
        </w:rPr>
      </w:pPr>
    </w:p>
    <w:p w:rsidR="00665592" w:rsidRDefault="00665592"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16788">
      <w:pPr>
        <w:widowControl w:val="0"/>
        <w:autoSpaceDE w:val="0"/>
        <w:autoSpaceDN w:val="0"/>
        <w:adjustRightInd w:val="0"/>
        <w:jc w:val="center"/>
        <w:rPr>
          <w:bCs/>
          <w:color w:val="000000"/>
        </w:rPr>
      </w:pPr>
      <w:bookmarkStart w:id="3" w:name="_Hlk7694662"/>
      <w:bookmarkStart w:id="4" w:name="_Hlk7697442"/>
      <w:bookmarkStart w:id="5" w:name="_GoBack"/>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3"/>
    <w:bookmarkEnd w:id="5"/>
    <w:p w:rsidR="00E16788" w:rsidRDefault="00E16788" w:rsidP="00EC4392">
      <w:pPr>
        <w:widowControl w:val="0"/>
        <w:autoSpaceDE w:val="0"/>
        <w:autoSpaceDN w:val="0"/>
        <w:adjustRightInd w:val="0"/>
        <w:jc w:val="both"/>
        <w:rPr>
          <w:bCs/>
          <w:color w:val="000000"/>
        </w:rPr>
      </w:pPr>
    </w:p>
    <w:bookmarkEnd w:id="4"/>
    <w:p w:rsidR="00E16788" w:rsidRDefault="00E16788"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Pr="009A57EE" w:rsidRDefault="00E16788"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E16788"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2018 r. poz. 1986</w:t>
      </w:r>
      <w:r w:rsidR="009D2D38">
        <w:rPr>
          <w:color w:val="000000"/>
        </w:rPr>
        <w:t xml:space="preserve"> </w:t>
      </w:r>
      <w:r w:rsidR="00A27100" w:rsidRPr="00A27100">
        <w:rPr>
          <w:color w:val="000000"/>
        </w:rPr>
        <w:t xml:space="preserve">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E16788" w:rsidRPr="00E16788" w:rsidRDefault="00560713" w:rsidP="00B71246">
      <w:pPr>
        <w:pStyle w:val="Akapitzlist"/>
        <w:numPr>
          <w:ilvl w:val="0"/>
          <w:numId w:val="3"/>
        </w:numPr>
        <w:autoSpaceDE w:val="0"/>
        <w:autoSpaceDN w:val="0"/>
        <w:adjustRightInd w:val="0"/>
        <w:jc w:val="both"/>
        <w:rPr>
          <w:rFonts w:ascii="Arial" w:hAnsi="Arial"/>
          <w:b/>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00E16788">
        <w:rPr>
          <w:rFonts w:ascii="Arial" w:hAnsi="Arial"/>
          <w:sz w:val="20"/>
          <w:szCs w:val="20"/>
        </w:rPr>
        <w:t>:</w:t>
      </w:r>
    </w:p>
    <w:p w:rsidR="00E16788" w:rsidRPr="00E16788" w:rsidRDefault="00E16788" w:rsidP="00E16788">
      <w:pPr>
        <w:pStyle w:val="Akapitzlist"/>
        <w:numPr>
          <w:ilvl w:val="0"/>
          <w:numId w:val="59"/>
        </w:numPr>
        <w:autoSpaceDE w:val="0"/>
        <w:autoSpaceDN w:val="0"/>
        <w:adjustRightInd w:val="0"/>
        <w:jc w:val="both"/>
        <w:rPr>
          <w:rFonts w:ascii="Arial" w:hAnsi="Arial"/>
          <w:b/>
          <w:sz w:val="20"/>
          <w:szCs w:val="20"/>
        </w:rPr>
      </w:pPr>
      <w:r>
        <w:rPr>
          <w:rFonts w:ascii="Arial" w:hAnsi="Arial"/>
          <w:sz w:val="20"/>
          <w:szCs w:val="20"/>
        </w:rPr>
        <w:t>Przebudowę ulicy Plac Kościelny w Fałkowie</w:t>
      </w:r>
    </w:p>
    <w:p w:rsidR="00E16788" w:rsidRPr="00E16788" w:rsidRDefault="00E16788" w:rsidP="00E16788">
      <w:pPr>
        <w:pStyle w:val="Akapitzlist"/>
        <w:numPr>
          <w:ilvl w:val="0"/>
          <w:numId w:val="59"/>
        </w:numPr>
        <w:autoSpaceDE w:val="0"/>
        <w:autoSpaceDN w:val="0"/>
        <w:adjustRightInd w:val="0"/>
        <w:jc w:val="both"/>
        <w:rPr>
          <w:rFonts w:ascii="Arial" w:hAnsi="Arial"/>
          <w:b/>
          <w:sz w:val="20"/>
          <w:szCs w:val="20"/>
        </w:rPr>
      </w:pPr>
      <w:r>
        <w:rPr>
          <w:rFonts w:ascii="Arial" w:hAnsi="Arial"/>
          <w:sz w:val="20"/>
          <w:szCs w:val="20"/>
        </w:rPr>
        <w:t>Przebudowę ulicy Ogrodowej w Fałkowie</w:t>
      </w:r>
    </w:p>
    <w:p w:rsidR="00361A4A" w:rsidRPr="00361A4A" w:rsidRDefault="00E16788" w:rsidP="00E16788">
      <w:pPr>
        <w:pStyle w:val="Akapitzlist"/>
        <w:numPr>
          <w:ilvl w:val="0"/>
          <w:numId w:val="59"/>
        </w:numPr>
        <w:autoSpaceDE w:val="0"/>
        <w:autoSpaceDN w:val="0"/>
        <w:adjustRightInd w:val="0"/>
        <w:jc w:val="both"/>
        <w:rPr>
          <w:rFonts w:ascii="Arial" w:hAnsi="Arial"/>
          <w:b/>
          <w:sz w:val="20"/>
          <w:szCs w:val="20"/>
        </w:rPr>
      </w:pPr>
      <w:r>
        <w:rPr>
          <w:rFonts w:ascii="Arial" w:hAnsi="Arial"/>
          <w:sz w:val="20"/>
          <w:szCs w:val="20"/>
        </w:rPr>
        <w:t>Przebudowę ulicy Spacerowej i ulicy Zamkowej w Fałkowie</w:t>
      </w:r>
    </w:p>
    <w:p w:rsidR="00361A4A" w:rsidRPr="00361A4A" w:rsidRDefault="00361A4A" w:rsidP="00E16788">
      <w:pPr>
        <w:pStyle w:val="Akapitzlist"/>
        <w:numPr>
          <w:ilvl w:val="0"/>
          <w:numId w:val="59"/>
        </w:numPr>
        <w:autoSpaceDE w:val="0"/>
        <w:autoSpaceDN w:val="0"/>
        <w:adjustRightInd w:val="0"/>
        <w:jc w:val="both"/>
        <w:rPr>
          <w:rFonts w:ascii="Arial" w:hAnsi="Arial"/>
          <w:b/>
          <w:sz w:val="20"/>
          <w:szCs w:val="20"/>
        </w:rPr>
      </w:pPr>
      <w:r>
        <w:rPr>
          <w:rFonts w:ascii="Arial" w:hAnsi="Arial"/>
          <w:sz w:val="20"/>
          <w:szCs w:val="20"/>
        </w:rPr>
        <w:t>Przebudowę drogi na osiedlu mieszkaniowym</w:t>
      </w:r>
    </w:p>
    <w:p w:rsidR="00A27100" w:rsidRPr="001C4A6D" w:rsidRDefault="00361A4A" w:rsidP="001C4A6D">
      <w:pPr>
        <w:pStyle w:val="Akapitzlist"/>
        <w:autoSpaceDE w:val="0"/>
        <w:autoSpaceDN w:val="0"/>
        <w:adjustRightInd w:val="0"/>
        <w:ind w:left="1080"/>
        <w:jc w:val="both"/>
      </w:pPr>
      <w:r>
        <w:rPr>
          <w:rFonts w:ascii="Arial" w:hAnsi="Arial"/>
          <w:sz w:val="20"/>
          <w:szCs w:val="20"/>
        </w:rPr>
        <w:t xml:space="preserve">poprzez budowę/przebudowę chodników, budowę parkingów z zagospodarowaniem terenu, budowę zatok postojowych </w:t>
      </w:r>
      <w:r w:rsidR="001C4A6D">
        <w:rPr>
          <w:rFonts w:ascii="Arial" w:hAnsi="Arial"/>
          <w:sz w:val="20"/>
          <w:szCs w:val="20"/>
        </w:rPr>
        <w:t>a także ułożenie</w:t>
      </w:r>
      <w:r>
        <w:rPr>
          <w:rFonts w:ascii="Arial" w:hAnsi="Arial"/>
          <w:sz w:val="20"/>
          <w:szCs w:val="20"/>
        </w:rPr>
        <w:t xml:space="preserve"> nawierzchni bitumicznej</w:t>
      </w:r>
      <w:r w:rsidR="001C4A6D">
        <w:rPr>
          <w:rFonts w:ascii="Arial" w:hAnsi="Arial"/>
          <w:sz w:val="20"/>
          <w:szCs w:val="20"/>
        </w:rPr>
        <w:t xml:space="preserve">. </w:t>
      </w:r>
      <w:r w:rsidR="00A27100" w:rsidRPr="00B71246">
        <w:t xml:space="preserve">Szczegółowy zakres robót budowlanych do wykonania opisano w </w:t>
      </w:r>
      <w:r w:rsidR="001C4A6D">
        <w:t>Projektach Technicznych robót a także</w:t>
      </w:r>
      <w:r w:rsidR="00B71246">
        <w:t xml:space="preserve"> </w:t>
      </w:r>
      <w:r w:rsidR="00A27100" w:rsidRPr="00B71246">
        <w:t xml:space="preserve"> oraz </w:t>
      </w:r>
      <w:r w:rsidR="0041560A" w:rsidRPr="00B71246">
        <w:t xml:space="preserve">pomocniczo </w:t>
      </w:r>
      <w:r w:rsidR="00A27100" w:rsidRPr="00B71246">
        <w:t xml:space="preserve">w przedmiarach. Szczegółowe warunki i zakres zamówienia określono we wzorze umowy. </w:t>
      </w:r>
      <w:r w:rsidR="00A27100" w:rsidRPr="001C4A6D">
        <w:rPr>
          <w:b/>
          <w:u w:val="single"/>
        </w:rPr>
        <w:t>Przygotowan</w:t>
      </w:r>
      <w:r w:rsidR="001C4A6D" w:rsidRPr="001C4A6D">
        <w:rPr>
          <w:b/>
          <w:u w:val="single"/>
        </w:rPr>
        <w:t>e</w:t>
      </w:r>
      <w:r w:rsidR="00A27100" w:rsidRPr="001C4A6D">
        <w:rPr>
          <w:b/>
          <w:u w:val="single"/>
        </w:rPr>
        <w:t xml:space="preserve"> na podstawie przedmiarów kosztorys</w:t>
      </w:r>
      <w:r w:rsidR="001C4A6D" w:rsidRPr="001C4A6D">
        <w:rPr>
          <w:b/>
          <w:u w:val="single"/>
        </w:rPr>
        <w:t>y</w:t>
      </w:r>
      <w:r w:rsidR="00A27100" w:rsidRPr="001C4A6D">
        <w:rPr>
          <w:b/>
          <w:u w:val="single"/>
        </w:rPr>
        <w:t xml:space="preserve"> ofertow</w:t>
      </w:r>
      <w:r w:rsidR="001C4A6D" w:rsidRPr="001C4A6D">
        <w:rPr>
          <w:b/>
          <w:u w:val="single"/>
        </w:rPr>
        <w:t>e</w:t>
      </w:r>
      <w:r w:rsidR="00A27100" w:rsidRPr="001C4A6D">
        <w:rPr>
          <w:b/>
          <w:u w:val="single"/>
        </w:rPr>
        <w:t>, należy dostarczyć do zamawiającego przed podpisaniem umowy.</w:t>
      </w:r>
      <w:r w:rsidR="00A27100" w:rsidRPr="001C4A6D">
        <w:rPr>
          <w:b/>
        </w:rPr>
        <w:t xml:space="preserve"> </w:t>
      </w:r>
      <w:r w:rsidR="00A27100" w:rsidRPr="00B71246">
        <w:t xml:space="preserve">Wyliczona cena jest ceną ryczałtową i nie będzie zmieniana bez względu na ewentualne różnice pomiędzy przedmiarem, a projektem budowlanym.  Powyższe dokumenty stanowią integralną część SIWZ. </w:t>
      </w:r>
    </w:p>
    <w:p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1C4A6D" w:rsidRDefault="001C4A6D" w:rsidP="00D2656A">
      <w:pPr>
        <w:pStyle w:val="Akapitzlist"/>
        <w:jc w:val="both"/>
        <w:rPr>
          <w:rFonts w:ascii="Arial" w:hAnsi="Arial"/>
          <w:sz w:val="20"/>
          <w:szCs w:val="20"/>
        </w:rPr>
      </w:pPr>
    </w:p>
    <w:p w:rsidR="001C4A6D" w:rsidRPr="001C4A6D" w:rsidRDefault="001C4A6D" w:rsidP="001C4A6D">
      <w:pPr>
        <w:pStyle w:val="Akapitzlist"/>
        <w:jc w:val="both"/>
        <w:rPr>
          <w:bCs/>
        </w:rPr>
      </w:pPr>
      <w:r w:rsidRPr="001C4A6D">
        <w:rPr>
          <w:bCs/>
        </w:rPr>
        <w:t xml:space="preserve">Zadanie realizowane </w:t>
      </w:r>
      <w:r>
        <w:rPr>
          <w:bCs/>
        </w:rPr>
        <w:t xml:space="preserve">jest </w:t>
      </w:r>
      <w:r w:rsidRPr="001C4A6D">
        <w:rPr>
          <w:bCs/>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1C4A6D" w:rsidRPr="00D2656A" w:rsidRDefault="001C4A6D"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Termin wykonania: do 3</w:t>
      </w:r>
      <w:r w:rsidR="001C4A6D">
        <w:rPr>
          <w:rFonts w:ascii="Arial" w:hAnsi="Arial"/>
          <w:b/>
          <w:bCs/>
          <w:sz w:val="20"/>
          <w:szCs w:val="20"/>
        </w:rPr>
        <w:t>1</w:t>
      </w:r>
      <w:r w:rsidRPr="0041560A">
        <w:rPr>
          <w:rFonts w:ascii="Arial" w:hAnsi="Arial"/>
          <w:b/>
          <w:bCs/>
          <w:sz w:val="20"/>
          <w:szCs w:val="20"/>
        </w:rPr>
        <w:t>.</w:t>
      </w:r>
      <w:r w:rsidR="001C4A6D">
        <w:rPr>
          <w:rFonts w:ascii="Arial" w:hAnsi="Arial"/>
          <w:b/>
          <w:bCs/>
          <w:sz w:val="20"/>
          <w:szCs w:val="20"/>
        </w:rPr>
        <w:t>10</w:t>
      </w:r>
      <w:r w:rsidRPr="0041560A">
        <w:rPr>
          <w:rFonts w:ascii="Arial" w:hAnsi="Arial"/>
          <w:b/>
          <w:bCs/>
          <w:sz w:val="20"/>
          <w:szCs w:val="20"/>
        </w:rPr>
        <w:t>.2019r</w:t>
      </w:r>
    </w:p>
    <w:p w:rsidR="0041560A" w:rsidRPr="0041560A" w:rsidRDefault="0041560A"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rsidR="000924CB" w:rsidRPr="009A57EE" w:rsidRDefault="000924CB" w:rsidP="000412CB">
      <w:pPr>
        <w:pStyle w:val="Akapitzlist"/>
        <w:jc w:val="both"/>
        <w:rPr>
          <w:rFonts w:ascii="Arial" w:hAnsi="Arial"/>
          <w:snapToGrid w:val="0"/>
          <w:sz w:val="20"/>
          <w:szCs w:val="20"/>
        </w:rPr>
      </w:pPr>
    </w:p>
    <w:p w:rsidR="006131AE" w:rsidRDefault="006131AE" w:rsidP="001C4A6D">
      <w:pPr>
        <w:jc w:val="both"/>
        <w:rPr>
          <w:b/>
          <w:snapToGrid w:val="0"/>
        </w:rPr>
      </w:pPr>
      <w:r w:rsidRPr="001C4A6D">
        <w:rPr>
          <w:b/>
          <w:snapToGrid w:val="0"/>
        </w:rPr>
        <w:lastRenderedPageBreak/>
        <w:t>Wymagania Zamawiającego dotyczące zatrudnienia przez Wykonawcę lub podwykonawcę  osób na podstawie Umowy o pracę (art. 29 ust. 3a).</w:t>
      </w:r>
    </w:p>
    <w:p w:rsidR="001C4A6D" w:rsidRPr="001C4A6D" w:rsidRDefault="001C4A6D" w:rsidP="001C4A6D">
      <w:pPr>
        <w:jc w:val="both"/>
        <w:rPr>
          <w:b/>
          <w:snapToGrid w:val="0"/>
        </w:rPr>
      </w:pP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1C4A6D" w:rsidRDefault="000924CB" w:rsidP="00871D1F">
      <w:pPr>
        <w:widowControl w:val="0"/>
        <w:autoSpaceDE w:val="0"/>
        <w:autoSpaceDN w:val="0"/>
        <w:adjustRightInd w:val="0"/>
        <w:ind w:firstLine="426"/>
        <w:rPr>
          <w:b/>
          <w:bCs/>
          <w:lang w:eastAsia="ar-SA"/>
        </w:rPr>
      </w:pPr>
      <w:r w:rsidRPr="001C4A6D">
        <w:rPr>
          <w:b/>
          <w:bCs/>
          <w:lang w:eastAsia="ar-SA"/>
        </w:rPr>
        <w:t>Główny przedmiot:</w:t>
      </w:r>
    </w:p>
    <w:p w:rsidR="00A27100" w:rsidRDefault="00A27100" w:rsidP="00A27100">
      <w:pPr>
        <w:pStyle w:val="BodyText21"/>
        <w:tabs>
          <w:tab w:val="left" w:pos="284"/>
        </w:tabs>
        <w:ind w:left="426"/>
        <w:rPr>
          <w:b/>
          <w:bCs/>
        </w:rPr>
      </w:pPr>
      <w:r w:rsidRPr="00A51730">
        <w:rPr>
          <w:bCs/>
        </w:rPr>
        <w:t>45233140-2</w:t>
      </w:r>
      <w:r>
        <w:rPr>
          <w:bCs/>
        </w:rPr>
        <w:t xml:space="preserve"> </w:t>
      </w:r>
      <w:r w:rsidRPr="00A51730">
        <w:rPr>
          <w:bCs/>
        </w:rPr>
        <w:t xml:space="preserve">– </w:t>
      </w:r>
      <w:r w:rsidRPr="00A51730">
        <w:rPr>
          <w:b/>
          <w:bCs/>
        </w:rPr>
        <w:t>Roboty drogowe</w:t>
      </w:r>
    </w:p>
    <w:p w:rsidR="000924CB" w:rsidRPr="001C4A6D" w:rsidRDefault="000924CB" w:rsidP="00871D1F">
      <w:pPr>
        <w:widowControl w:val="0"/>
        <w:autoSpaceDE w:val="0"/>
        <w:autoSpaceDN w:val="0"/>
        <w:adjustRightInd w:val="0"/>
        <w:ind w:firstLine="426"/>
        <w:rPr>
          <w:b/>
          <w:bCs/>
          <w:lang w:eastAsia="ar-SA"/>
        </w:rPr>
      </w:pPr>
      <w:r w:rsidRPr="001C4A6D">
        <w:rPr>
          <w:b/>
          <w:bCs/>
          <w:lang w:eastAsia="ar-SA"/>
        </w:rPr>
        <w:t>Dodatkowe przedmioty:</w:t>
      </w:r>
    </w:p>
    <w:p w:rsidR="001C4A6D" w:rsidRPr="001C4A6D" w:rsidRDefault="001C4A6D" w:rsidP="001C4A6D">
      <w:pPr>
        <w:widowControl w:val="0"/>
        <w:autoSpaceDE w:val="0"/>
        <w:autoSpaceDN w:val="0"/>
        <w:adjustRightInd w:val="0"/>
        <w:ind w:firstLine="426"/>
        <w:rPr>
          <w:bCs/>
          <w:lang w:eastAsia="ar-SA"/>
        </w:rPr>
      </w:pPr>
      <w:r w:rsidRPr="001C4A6D">
        <w:rPr>
          <w:bCs/>
          <w:lang w:eastAsia="ar-SA"/>
        </w:rPr>
        <w:t>45233222-1</w:t>
      </w:r>
      <w:r w:rsidRPr="001C4A6D">
        <w:rPr>
          <w:bCs/>
          <w:lang w:eastAsia="ar-SA"/>
        </w:rPr>
        <w:t xml:space="preserve">- </w:t>
      </w:r>
      <w:r w:rsidRPr="001C4A6D">
        <w:rPr>
          <w:bCs/>
          <w:lang w:eastAsia="ar-SA"/>
        </w:rPr>
        <w:t>Roboty budowlane w zakresie układania chodników i asfaltowania</w:t>
      </w:r>
    </w:p>
    <w:p w:rsidR="001C4A6D" w:rsidRPr="001C4A6D" w:rsidRDefault="001C4A6D" w:rsidP="001C4A6D">
      <w:pPr>
        <w:widowControl w:val="0"/>
        <w:autoSpaceDE w:val="0"/>
        <w:autoSpaceDN w:val="0"/>
        <w:adjustRightInd w:val="0"/>
        <w:ind w:firstLine="426"/>
        <w:rPr>
          <w:bCs/>
          <w:lang w:eastAsia="ar-SA"/>
        </w:rPr>
      </w:pPr>
      <w:r w:rsidRPr="001C4A6D">
        <w:rPr>
          <w:bCs/>
          <w:lang w:eastAsia="ar-SA"/>
        </w:rPr>
        <w:t>45223300-9</w:t>
      </w:r>
      <w:r w:rsidRPr="001C4A6D">
        <w:rPr>
          <w:bCs/>
          <w:lang w:eastAsia="ar-SA"/>
        </w:rPr>
        <w:t xml:space="preserve"> - </w:t>
      </w:r>
      <w:r w:rsidRPr="001C4A6D">
        <w:rPr>
          <w:bCs/>
          <w:lang w:eastAsia="ar-SA"/>
        </w:rPr>
        <w:t>Roboty budowlane w zakresie parkingów</w:t>
      </w:r>
    </w:p>
    <w:p w:rsidR="00A27100" w:rsidRPr="001C4A6D" w:rsidRDefault="001C4A6D" w:rsidP="00A27100">
      <w:pPr>
        <w:widowControl w:val="0"/>
        <w:autoSpaceDE w:val="0"/>
        <w:autoSpaceDN w:val="0"/>
        <w:adjustRightInd w:val="0"/>
        <w:ind w:left="360"/>
        <w:rPr>
          <w:bCs/>
          <w:lang w:eastAsia="ar-SA"/>
        </w:rPr>
      </w:pPr>
      <w:r>
        <w:rPr>
          <w:bCs/>
          <w:lang w:eastAsia="ar-SA"/>
        </w:rPr>
        <w:t xml:space="preserve"> </w:t>
      </w:r>
      <w:r w:rsidR="00A27100" w:rsidRPr="001C4A6D">
        <w:rPr>
          <w:bCs/>
          <w:lang w:eastAsia="ar-SA"/>
        </w:rPr>
        <w:t>45233142-6 -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 xml:space="preserve">zgodnie z art. 24 aa ustawy Prawo zamówień publicznych, Zamawiający dokona w pierwszej </w:t>
      </w:r>
      <w:r w:rsidRPr="009A57EE">
        <w:rPr>
          <w:bCs/>
        </w:rPr>
        <w:lastRenderedPageBreak/>
        <w:t>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lastRenderedPageBreak/>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D2656A">
        <w:rPr>
          <w:b/>
          <w:bCs/>
        </w:rPr>
        <w:t>3</w:t>
      </w:r>
      <w:r w:rsidR="003D15A5">
        <w:rPr>
          <w:b/>
          <w:bCs/>
        </w:rPr>
        <w:t>1</w:t>
      </w:r>
      <w:r w:rsidR="00D2656A">
        <w:rPr>
          <w:b/>
          <w:bCs/>
        </w:rPr>
        <w:t>.</w:t>
      </w:r>
      <w:r w:rsidR="003D15A5">
        <w:rPr>
          <w:b/>
          <w:bCs/>
        </w:rPr>
        <w:t>10</w:t>
      </w:r>
      <w:r w:rsidR="00D2656A">
        <w:rPr>
          <w:b/>
          <w:bCs/>
        </w:rPr>
        <w:t>.2019</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 xml:space="preserve">ączonego </w:t>
      </w:r>
      <w:r w:rsidR="00361A9D" w:rsidRPr="009A57EE">
        <w:lastRenderedPageBreak/>
        <w:t>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6" w:name="_Hlk7695901"/>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003D15A5">
        <w:rPr>
          <w:rFonts w:ascii="Tahoma" w:hAnsi="Tahoma" w:cs="Tahoma"/>
          <w:b/>
        </w:rPr>
        <w:t xml:space="preserve">infrastruktury drogowej, </w:t>
      </w:r>
      <w:proofErr w:type="spellStart"/>
      <w:r w:rsidR="003D15A5">
        <w:rPr>
          <w:rFonts w:ascii="Tahoma" w:hAnsi="Tahoma" w:cs="Tahoma"/>
          <w:b/>
        </w:rPr>
        <w:t>tj.drogi</w:t>
      </w:r>
      <w:proofErr w:type="spellEnd"/>
      <w:r w:rsidR="003D15A5">
        <w:rPr>
          <w:rFonts w:ascii="Tahoma" w:hAnsi="Tahoma" w:cs="Tahoma"/>
          <w:b/>
        </w:rPr>
        <w:t xml:space="preserve"> o nawierzchni asfaltowej z chodnikami bądź parkingami z kostki brukowej</w:t>
      </w:r>
      <w:r w:rsidRPr="00F737FA">
        <w:rPr>
          <w:rFonts w:ascii="Tahoma" w:hAnsi="Tahoma" w:cs="Tahoma"/>
          <w:b/>
        </w:rPr>
        <w:t xml:space="preserve"> 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6"/>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3"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lastRenderedPageBreak/>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w:t>
      </w:r>
      <w:r w:rsidR="002C02EA" w:rsidRPr="009A57EE">
        <w:rPr>
          <w:rFonts w:eastAsia="Calibri"/>
          <w:bCs/>
          <w:lang w:eastAsia="en-US"/>
        </w:rPr>
        <w:lastRenderedPageBreak/>
        <w:t xml:space="preserve">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 xml:space="preserve">czy podmioty, na zdolnościach których Wykonawca polega w odniesieniu do warunków udziału w postępowaniu dotyczących wykształcenia, kwalifikacji zawodowych lub doświadczenia, zrealizują roboty </w:t>
      </w:r>
      <w:r w:rsidRPr="009A57EE">
        <w:rPr>
          <w:rFonts w:eastAsia="Calibri"/>
          <w:bCs/>
          <w:lang w:eastAsia="en-US"/>
        </w:rPr>
        <w:lastRenderedPageBreak/>
        <w:t>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 xml:space="preserve">Nie udziela się żadnych ustnych i telefonicznych informacji, wyjaśnień czy odpowiedzi na kierowane </w:t>
      </w:r>
      <w:r w:rsidRPr="009A57EE">
        <w:rPr>
          <w:color w:val="000000"/>
        </w:rPr>
        <w:lastRenderedPageBreak/>
        <w:t>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412F70">
        <w:rPr>
          <w:b/>
          <w:color w:val="000000"/>
        </w:rPr>
        <w:t>15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proofErr w:type="spellStart"/>
      <w:r w:rsidR="00412F70">
        <w:t>pietnaście</w:t>
      </w:r>
      <w:proofErr w:type="spellEnd"/>
      <w:r w:rsidR="00C83A30">
        <w:t xml:space="preserve">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11. Zamawiający zatrzymuje wadium wraz z odsetkami, jeżeli Wykonawca w odpowiedzi na wezwanie, o </w:t>
      </w:r>
      <w:r w:rsidRPr="009A57EE">
        <w:rPr>
          <w:color w:val="000000"/>
        </w:rPr>
        <w:lastRenderedPageBreak/>
        <w:t>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w:t>
      </w:r>
      <w:r w:rsidRPr="009A57EE">
        <w:rPr>
          <w:color w:val="000000"/>
        </w:rPr>
        <w:lastRenderedPageBreak/>
        <w:t>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0A6713" w:rsidRPr="000A6713">
        <w:rPr>
          <w:b/>
          <w:bCs/>
          <w:iCs/>
        </w:rPr>
        <w:t>Przebudowa infrastruktury drogowej na ul. Plac Kościelny, ul. Ogrodowej, ul. Zamkowej i ul. Spacerowej oraz na terenie osiedla mieszkaniowego w Fałkowie</w:t>
      </w:r>
      <w:r w:rsidR="002246B0" w:rsidRPr="009A57EE">
        <w:rPr>
          <w:b/>
          <w:bCs/>
        </w:rPr>
        <w:t>"</w:t>
      </w:r>
      <w:r w:rsidR="00EC63F5" w:rsidRPr="009A57EE">
        <w:rPr>
          <w:b/>
        </w:rPr>
        <w:t xml:space="preserve">, przetarg nr </w:t>
      </w:r>
      <w:r w:rsidR="00C83A30">
        <w:rPr>
          <w:b/>
        </w:rPr>
        <w:t>ZP.271.</w:t>
      </w:r>
      <w:r w:rsidR="000A6713">
        <w:rPr>
          <w:b/>
        </w:rPr>
        <w:t>4</w:t>
      </w:r>
      <w:r w:rsidR="00C83A30">
        <w:rPr>
          <w:b/>
        </w:rPr>
        <w:t>.201</w:t>
      </w:r>
      <w:r w:rsidR="007C5FF9">
        <w:rPr>
          <w:b/>
        </w:rPr>
        <w:t>9</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7954C1">
        <w:rPr>
          <w:b/>
          <w:color w:val="000000" w:themeColor="text1"/>
        </w:rPr>
        <w:t>1</w:t>
      </w:r>
      <w:r w:rsidR="00635625">
        <w:rPr>
          <w:b/>
          <w:color w:val="000000" w:themeColor="text1"/>
        </w:rPr>
        <w:t>7</w:t>
      </w:r>
      <w:r w:rsidR="001A32D1" w:rsidRPr="007C5FF9">
        <w:rPr>
          <w:b/>
          <w:color w:val="000000" w:themeColor="text1"/>
        </w:rPr>
        <w:t>.</w:t>
      </w:r>
      <w:r w:rsidR="00F521F3" w:rsidRPr="007C5FF9">
        <w:rPr>
          <w:b/>
          <w:color w:val="000000" w:themeColor="text1"/>
        </w:rPr>
        <w:t>0</w:t>
      </w:r>
      <w:r w:rsidR="007C5FF9" w:rsidRPr="007C5FF9">
        <w:rPr>
          <w:b/>
          <w:color w:val="000000" w:themeColor="text1"/>
        </w:rPr>
        <w:t>5</w:t>
      </w:r>
      <w:r w:rsidR="00171806" w:rsidRPr="007C5FF9">
        <w:rPr>
          <w:b/>
          <w:color w:val="000000" w:themeColor="text1"/>
        </w:rPr>
        <w:t>.20</w:t>
      </w:r>
      <w:r w:rsidRPr="007C5FF9">
        <w:rPr>
          <w:b/>
          <w:color w:val="000000" w:themeColor="text1"/>
        </w:rPr>
        <w:t>1</w:t>
      </w:r>
      <w:r w:rsidR="007C5FF9" w:rsidRPr="007C5FF9">
        <w:rPr>
          <w:b/>
          <w:color w:val="000000" w:themeColor="text1"/>
        </w:rPr>
        <w:t>9</w:t>
      </w:r>
      <w:r w:rsidR="0088452E" w:rsidRPr="007C5FF9">
        <w:rPr>
          <w:b/>
          <w:color w:val="000000" w:themeColor="text1"/>
        </w:rPr>
        <w:t xml:space="preserve"> </w:t>
      </w:r>
      <w:r w:rsidRPr="009A57EE">
        <w:rPr>
          <w:b/>
        </w:rPr>
        <w:t>r. do godz. 1</w:t>
      </w:r>
      <w:r w:rsidR="000A6713">
        <w:rPr>
          <w:b/>
        </w:rPr>
        <w:t>3</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7C5FF9">
        <w:rPr>
          <w:b/>
          <w:color w:val="000000"/>
          <w:sz w:val="22"/>
          <w:highlight w:val="white"/>
        </w:rPr>
        <w:t>9</w:t>
      </w:r>
      <w:r w:rsidRPr="009A57EE">
        <w:rPr>
          <w:b/>
          <w:color w:val="000000"/>
          <w:sz w:val="22"/>
          <w:highlight w:val="white"/>
        </w:rPr>
        <w:t>-</w:t>
      </w:r>
      <w:r w:rsidR="00F521F3" w:rsidRPr="009A57EE">
        <w:rPr>
          <w:b/>
          <w:color w:val="000000"/>
          <w:sz w:val="22"/>
          <w:highlight w:val="white"/>
        </w:rPr>
        <w:t>0</w:t>
      </w:r>
      <w:r w:rsidR="007C5FF9">
        <w:rPr>
          <w:b/>
          <w:color w:val="000000"/>
          <w:sz w:val="22"/>
          <w:highlight w:val="white"/>
        </w:rPr>
        <w:t>5</w:t>
      </w:r>
      <w:r w:rsidRPr="009A57EE">
        <w:rPr>
          <w:b/>
          <w:color w:val="000000"/>
          <w:sz w:val="22"/>
          <w:highlight w:val="white"/>
        </w:rPr>
        <w:t>-</w:t>
      </w:r>
      <w:r w:rsidR="007C5FF9">
        <w:rPr>
          <w:b/>
          <w:color w:val="000000"/>
          <w:sz w:val="22"/>
          <w:highlight w:val="white"/>
        </w:rPr>
        <w:t>1</w:t>
      </w:r>
      <w:r w:rsidR="00635625">
        <w:rPr>
          <w:b/>
          <w:color w:val="000000"/>
          <w:sz w:val="22"/>
        </w:rPr>
        <w:t xml:space="preserve">7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0A6713">
        <w:rPr>
          <w:rFonts w:eastAsia="Arial Unicode MS"/>
          <w:b/>
          <w:sz w:val="22"/>
          <w:highlight w:val="white"/>
        </w:rPr>
        <w:t>3</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7C5FF9">
        <w:rPr>
          <w:b/>
          <w:color w:val="000000"/>
          <w:highlight w:val="white"/>
        </w:rPr>
        <w:t>9</w:t>
      </w:r>
      <w:r w:rsidR="00D54452" w:rsidRPr="009A57EE">
        <w:rPr>
          <w:b/>
          <w:color w:val="000000"/>
          <w:highlight w:val="white"/>
        </w:rPr>
        <w:t>-</w:t>
      </w:r>
      <w:r w:rsidR="00F521F3" w:rsidRPr="009A57EE">
        <w:rPr>
          <w:b/>
          <w:color w:val="000000"/>
          <w:highlight w:val="white"/>
        </w:rPr>
        <w:t>0</w:t>
      </w:r>
      <w:r w:rsidR="007C5FF9">
        <w:rPr>
          <w:b/>
          <w:color w:val="000000"/>
          <w:highlight w:val="white"/>
        </w:rPr>
        <w:t>5</w:t>
      </w:r>
      <w:r w:rsidRPr="009A57EE">
        <w:rPr>
          <w:b/>
          <w:color w:val="000000"/>
          <w:highlight w:val="white"/>
        </w:rPr>
        <w:t>-</w:t>
      </w:r>
      <w:r w:rsidR="007C5FF9">
        <w:rPr>
          <w:b/>
          <w:color w:val="000000"/>
        </w:rPr>
        <w:t>1</w:t>
      </w:r>
      <w:r w:rsidR="00635625">
        <w:rPr>
          <w:b/>
          <w:color w:val="000000"/>
        </w:rPr>
        <w:t>7</w:t>
      </w:r>
      <w:r w:rsidRPr="009A57EE">
        <w:rPr>
          <w:color w:val="000000"/>
        </w:rPr>
        <w:t>, o godz.</w:t>
      </w:r>
      <w:r w:rsidRPr="009A57EE">
        <w:rPr>
          <w:b/>
        </w:rPr>
        <w:t xml:space="preserve"> 1</w:t>
      </w:r>
      <w:r w:rsidR="000A6713">
        <w:rPr>
          <w:b/>
        </w:rPr>
        <w:t>3</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lastRenderedPageBreak/>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lastRenderedPageBreak/>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3.2) w poręczeniach bankowych lub poręczeniach spółdzielczej kasy oszczędnościowo - kredytowej, z tym, </w:t>
      </w:r>
      <w:r w:rsidRPr="009A57EE">
        <w:rPr>
          <w:color w:val="000000"/>
        </w:rPr>
        <w:lastRenderedPageBreak/>
        <w:t>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 xml:space="preserve">W sprawach nieuregulowanych w niniejszej specyfikacji mają zastosowanie odpowiednie przepisy Ustawy z </w:t>
      </w:r>
      <w:r w:rsidRPr="009A57EE">
        <w:rPr>
          <w:color w:val="000000"/>
        </w:rPr>
        <w:lastRenderedPageBreak/>
        <w:t>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lastRenderedPageBreak/>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635625">
        <w:rPr>
          <w:rFonts w:eastAsia="Arial Unicode MS"/>
          <w:color w:val="000000"/>
        </w:rPr>
        <w:t>02</w:t>
      </w:r>
      <w:r>
        <w:rPr>
          <w:rFonts w:eastAsia="Arial Unicode MS"/>
          <w:color w:val="000000"/>
        </w:rPr>
        <w:t>.0</w:t>
      </w:r>
      <w:r w:rsidR="00635625">
        <w:rPr>
          <w:rFonts w:eastAsia="Arial Unicode MS"/>
          <w:color w:val="000000"/>
        </w:rPr>
        <w:t>5</w:t>
      </w:r>
      <w:r>
        <w:rPr>
          <w:rFonts w:eastAsia="Arial Unicode MS"/>
          <w:color w:val="000000"/>
        </w:rPr>
        <w:t>.201</w:t>
      </w:r>
      <w:r w:rsidR="00221EF3">
        <w:rPr>
          <w:rFonts w:eastAsia="Arial Unicode MS"/>
          <w:color w:val="000000"/>
        </w:rPr>
        <w:t>9</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FE5D4B">
        <w:tc>
          <w:tcPr>
            <w:tcW w:w="1396"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lastRenderedPageBreak/>
              <w:drawing>
                <wp:inline distT="0" distB="0" distL="0" distR="0">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color w:val="000000"/>
                <w:sz w:val="24"/>
                <w:szCs w:val="24"/>
              </w:rPr>
              <w:drawing>
                <wp:inline distT="0" distB="0" distL="0" distR="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color w:val="000000"/>
                <w:sz w:val="24"/>
                <w:szCs w:val="24"/>
              </w:rPr>
              <w:drawing>
                <wp:inline distT="0" distB="0" distL="0" distR="0">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0A6713">
        <w:rPr>
          <w:b/>
          <w:color w:val="000000"/>
        </w:rPr>
        <w:t>4</w:t>
      </w:r>
      <w:r w:rsidR="00743917">
        <w:rPr>
          <w:b/>
          <w:color w:val="000000"/>
        </w:rPr>
        <w:t>.201</w:t>
      </w:r>
      <w:r w:rsidR="00221EF3">
        <w:rPr>
          <w:b/>
          <w:color w:val="000000"/>
        </w:rPr>
        <w:t>9</w:t>
      </w:r>
      <w:r w:rsidR="001235AC">
        <w:rPr>
          <w:b/>
          <w:color w:val="000000"/>
        </w:rPr>
        <w:t>.RPOWŚ</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„Przebudowa infrastruktury drogowej na ul. Plac Kościelny, ul. Ogrodowej, ul. Zamkowej i ul. Spacerowej oraz na terenie osiedla mieszkaniowego w Fałkowie”</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221EF3">
        <w:rPr>
          <w:b/>
        </w:rPr>
        <w:t>3</w:t>
      </w:r>
      <w:r w:rsidR="000A6713">
        <w:rPr>
          <w:b/>
        </w:rPr>
        <w:t>1</w:t>
      </w:r>
      <w:r w:rsidRPr="00CE6D4C">
        <w:rPr>
          <w:b/>
        </w:rPr>
        <w:t>.</w:t>
      </w:r>
      <w:r w:rsidR="000A6713">
        <w:rPr>
          <w:b/>
        </w:rPr>
        <w:t>10</w:t>
      </w:r>
      <w:r w:rsidRPr="00CE6D4C">
        <w:rPr>
          <w:b/>
        </w:rPr>
        <w:t>.201</w:t>
      </w:r>
      <w:r w:rsidR="00221EF3">
        <w:rPr>
          <w:b/>
        </w:rPr>
        <w:t>9</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5. Zobowiązujemy się do wykonania zamówienia w terminie oraz w sposób zgodny z warunkami / </w:t>
      </w:r>
      <w:r w:rsidRPr="009A57EE">
        <w:rPr>
          <w:bCs/>
          <w:color w:val="000000"/>
          <w:sz w:val="22"/>
          <w:szCs w:val="22"/>
        </w:rPr>
        <w:lastRenderedPageBreak/>
        <w:t>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FE5D4B">
        <w:tc>
          <w:tcPr>
            <w:tcW w:w="1396" w:type="pct"/>
            <w:shd w:val="clear" w:color="auto" w:fill="FFFFFF"/>
          </w:tcPr>
          <w:p w:rsidR="00041F12" w:rsidRPr="00041F12" w:rsidRDefault="00041F12" w:rsidP="00041F12">
            <w:pPr>
              <w:jc w:val="right"/>
            </w:pPr>
            <w:r w:rsidRPr="00041F12">
              <w:lastRenderedPageBreak/>
              <w:drawing>
                <wp:inline distT="0" distB="0" distL="0" distR="0">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pPr>
            <w:r w:rsidRPr="00041F12">
              <w:t xml:space="preserve">             </w:t>
            </w:r>
            <w:r w:rsidRPr="00041F12">
              <w:drawing>
                <wp:inline distT="0" distB="0" distL="0" distR="0">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pPr>
            <w:r w:rsidRPr="00041F12">
              <w:t xml:space="preserve">   </w:t>
            </w:r>
            <w:r w:rsidRPr="00041F12">
              <w:drawing>
                <wp:inline distT="0" distB="0" distL="0" distR="0">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433A4" w:rsidRPr="009A57EE" w:rsidRDefault="000433A4" w:rsidP="000433A4">
      <w:pPr>
        <w:jc w:val="right"/>
        <w:rPr>
          <w:b/>
          <w:color w:val="000000"/>
          <w:sz w:val="24"/>
          <w:szCs w:val="24"/>
        </w:rPr>
      </w:pPr>
      <w:r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0A6713">
        <w:rPr>
          <w:b/>
          <w:color w:val="000000"/>
        </w:rPr>
        <w:t>4</w:t>
      </w:r>
      <w:r w:rsidR="00743917">
        <w:rPr>
          <w:b/>
          <w:color w:val="000000"/>
        </w:rPr>
        <w:t>.20</w:t>
      </w:r>
      <w:r w:rsidR="000609DA">
        <w:rPr>
          <w:b/>
          <w:color w:val="000000"/>
        </w:rPr>
        <w:t>1</w:t>
      </w:r>
      <w:r w:rsidR="00507EE8">
        <w:rPr>
          <w:b/>
          <w:color w:val="000000"/>
        </w:rPr>
        <w:t>9</w:t>
      </w:r>
      <w:r w:rsidR="001235AC">
        <w:rPr>
          <w:b/>
          <w:color w:val="000000"/>
        </w:rPr>
        <w:t>.RPOWŚ</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7"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7"/>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A6713" w:rsidRDefault="000A6713" w:rsidP="00697029">
      <w:pPr>
        <w:spacing w:line="276" w:lineRule="auto"/>
        <w:jc w:val="center"/>
        <w:rPr>
          <w:b/>
          <w:bCs/>
          <w:i/>
          <w:iCs/>
          <w:sz w:val="22"/>
        </w:rPr>
      </w:pPr>
      <w:r w:rsidRPr="000A6713">
        <w:rPr>
          <w:b/>
          <w:bCs/>
          <w:i/>
          <w:iCs/>
          <w:sz w:val="22"/>
        </w:rPr>
        <w:t xml:space="preserve">„Przebudowa infrastruktury drogowej na ul. Plac Kościelny, ul. Ogrodowej, ul. Zamkowej i ul. Spacerowej oraz na terenie osiedla mieszkaniowego w </w:t>
      </w:r>
      <w:proofErr w:type="spellStart"/>
      <w:r w:rsidRPr="000A6713">
        <w:rPr>
          <w:b/>
          <w:bCs/>
          <w:i/>
          <w:iCs/>
          <w:sz w:val="22"/>
        </w:rPr>
        <w:t>Fałkowie”</w:t>
      </w:r>
    </w:p>
    <w:p w:rsidR="000433A4" w:rsidRPr="009A57EE" w:rsidRDefault="000433A4" w:rsidP="00697029">
      <w:pPr>
        <w:spacing w:line="276" w:lineRule="auto"/>
        <w:jc w:val="center"/>
      </w:pPr>
      <w:r w:rsidRPr="009A57EE">
        <w:t>oświadcza</w:t>
      </w:r>
      <w:proofErr w:type="spellEnd"/>
      <w:r w:rsidRPr="009A57EE">
        <w:t>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FE5D4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lastRenderedPageBreak/>
              <w:drawing>
                <wp:inline distT="0" distB="0" distL="0" distR="0">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color w:val="000000"/>
                <w:sz w:val="24"/>
                <w:szCs w:val="24"/>
              </w:rPr>
              <w:drawing>
                <wp:inline distT="0" distB="0" distL="0" distR="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color w:val="000000"/>
                <w:sz w:val="24"/>
                <w:szCs w:val="24"/>
              </w:rPr>
              <w:drawing>
                <wp:inline distT="0" distB="0" distL="0" distR="0">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0A6713">
        <w:rPr>
          <w:b/>
          <w:color w:val="000000"/>
        </w:rPr>
        <w:t>4</w:t>
      </w:r>
      <w:r w:rsidR="00743917">
        <w:rPr>
          <w:b/>
          <w:color w:val="000000"/>
        </w:rPr>
        <w:t>.201</w:t>
      </w:r>
      <w:r w:rsidR="00507EE8">
        <w:rPr>
          <w:b/>
          <w:color w:val="000000"/>
        </w:rPr>
        <w:t>9</w:t>
      </w:r>
      <w:r w:rsidR="00E24B38">
        <w:rPr>
          <w:b/>
          <w:color w:val="000000"/>
        </w:rPr>
        <w:t>.RPOWŚ</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 xml:space="preserve">„Przebudowa infrastruktury drogowej na ul. Plac Kościelny, ul. Ogrodowej, ul. Zamkowej i ul. Spacerowej oraz na terenie osiedla mieszkaniowego w </w:t>
      </w:r>
      <w:proofErr w:type="spellStart"/>
      <w:r w:rsidRPr="000A6713">
        <w:rPr>
          <w:b/>
          <w:bCs/>
          <w:i/>
          <w:iCs/>
          <w:sz w:val="24"/>
        </w:rPr>
        <w:t>Fałkowie”</w:t>
      </w:r>
    </w:p>
    <w:p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w:t>
      </w:r>
      <w:proofErr w:type="spellEnd"/>
      <w:r w:rsidRPr="009A57EE">
        <w:rPr>
          <w:spacing w:val="-1"/>
          <w:sz w:val="21"/>
          <w:szCs w:val="21"/>
        </w:rPr>
        <w:t>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4E351C" w:rsidRDefault="00E12EAE" w:rsidP="00E12EAE">
      <w:pPr>
        <w:pStyle w:val="Tekstpodstawowy"/>
        <w:kinsoku w:val="0"/>
        <w:overflowPunct w:val="0"/>
        <w:spacing w:before="119"/>
        <w:rPr>
          <w:sz w:val="21"/>
          <w:szCs w:val="21"/>
        </w:rPr>
      </w:pPr>
      <w:r w:rsidRPr="009A57EE">
        <w:rPr>
          <w:sz w:val="21"/>
          <w:szCs w:val="21"/>
        </w:rPr>
        <w:t>………………………………………………………………………………………………………………..</w:t>
      </w:r>
    </w:p>
    <w:p w:rsidR="00041F12" w:rsidRPr="009A57EE" w:rsidRDefault="00041F12"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FE5D4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lastRenderedPageBreak/>
              <w:drawing>
                <wp:inline distT="0" distB="0" distL="0" distR="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color w:val="000000"/>
                <w:sz w:val="24"/>
                <w:szCs w:val="24"/>
              </w:rPr>
              <w:drawing>
                <wp:inline distT="0" distB="0" distL="0" distR="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color w:val="000000"/>
                <w:sz w:val="24"/>
                <w:szCs w:val="24"/>
              </w:rPr>
              <w:drawing>
                <wp:inline distT="0" distB="0" distL="0" distR="0">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0A6713">
        <w:rPr>
          <w:b/>
          <w:color w:val="000000"/>
        </w:rPr>
        <w:t>4</w:t>
      </w:r>
      <w:r w:rsidR="00743917">
        <w:rPr>
          <w:b/>
          <w:color w:val="000000"/>
        </w:rPr>
        <w:t>.201</w:t>
      </w:r>
      <w:r w:rsidR="00507EE8">
        <w:rPr>
          <w:b/>
          <w:color w:val="000000"/>
        </w:rPr>
        <w:t>9</w:t>
      </w:r>
      <w:r w:rsidR="000A6713">
        <w:rPr>
          <w:b/>
          <w:color w:val="000000"/>
        </w:rPr>
        <w:t>.RPOWŚ</w:t>
      </w:r>
    </w:p>
    <w:p w:rsidR="00CD3565" w:rsidRPr="009A57EE" w:rsidRDefault="00CD3565" w:rsidP="00073491">
      <w:pPr>
        <w:pStyle w:val="Tekstpodstawowy"/>
        <w:kinsoku w:val="0"/>
        <w:overflowPunct w:val="0"/>
        <w:spacing w:before="8"/>
        <w:rPr>
          <w:color w:val="000000"/>
        </w:rPr>
      </w:pPr>
    </w:p>
    <w:p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636037" w:rsidRPr="009A57EE" w:rsidRDefault="000A6713" w:rsidP="00636037">
      <w:pPr>
        <w:ind w:left="284"/>
        <w:jc w:val="center"/>
        <w:rPr>
          <w:b/>
        </w:rPr>
      </w:pPr>
      <w:r w:rsidRPr="000A6713">
        <w:rPr>
          <w:b/>
          <w:bCs/>
          <w:i/>
          <w:iCs/>
          <w:sz w:val="24"/>
          <w:szCs w:val="24"/>
        </w:rPr>
        <w:t xml:space="preserve">„Przebudowa infrastruktury drogowej na ul. Plac Kościelny, ul. Ogrodowej, ul. Zamkowej i ul. Spacerowej oraz na terenie osiedla mieszkaniowego w </w:t>
      </w:r>
      <w:proofErr w:type="spellStart"/>
      <w:r w:rsidRPr="000A6713">
        <w:rPr>
          <w:b/>
          <w:bCs/>
          <w:i/>
          <w:iCs/>
          <w:sz w:val="24"/>
          <w:szCs w:val="24"/>
        </w:rPr>
        <w:t>Fałkowie”</w:t>
      </w:r>
      <w:r>
        <w:rPr>
          <w:b/>
          <w:bCs/>
          <w:i/>
          <w:iCs/>
          <w:sz w:val="24"/>
          <w:szCs w:val="24"/>
        </w:rPr>
        <w:t xml:space="preserve"> </w:t>
      </w:r>
      <w:r w:rsidR="00636037" w:rsidRPr="009A57EE">
        <w:rPr>
          <w:spacing w:val="-1"/>
          <w:sz w:val="21"/>
          <w:szCs w:val="21"/>
        </w:rPr>
        <w:t>oświadcza</w:t>
      </w:r>
      <w:proofErr w:type="spellEnd"/>
      <w:r w:rsidR="00636037" w:rsidRPr="009A57EE">
        <w:rPr>
          <w:spacing w:val="-1"/>
          <w:sz w:val="21"/>
          <w:szCs w:val="21"/>
        </w:rPr>
        <w:t>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7"/>
          <w:footerReference w:type="first" r:id="rId18"/>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FE5D4B">
        <w:tc>
          <w:tcPr>
            <w:tcW w:w="1396"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lastRenderedPageBreak/>
              <w:drawing>
                <wp:inline distT="0" distB="0" distL="0" distR="0">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color w:val="000000" w:themeColor="text1"/>
                <w:sz w:val="24"/>
                <w:szCs w:val="24"/>
              </w:rPr>
              <w:drawing>
                <wp:inline distT="0" distB="0" distL="0" distR="0">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color w:val="000000" w:themeColor="text1"/>
                <w:sz w:val="24"/>
                <w:szCs w:val="24"/>
              </w:rPr>
              <w:drawing>
                <wp:inline distT="0" distB="0" distL="0" distR="0">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0A6713">
        <w:rPr>
          <w:b/>
          <w:color w:val="000000" w:themeColor="text1"/>
        </w:rPr>
        <w:t>4</w:t>
      </w:r>
      <w:r w:rsidR="00743917">
        <w:rPr>
          <w:b/>
          <w:color w:val="000000" w:themeColor="text1"/>
        </w:rPr>
        <w:t>.201</w:t>
      </w:r>
      <w:r w:rsidR="002B2AF8">
        <w:rPr>
          <w:b/>
          <w:color w:val="000000" w:themeColor="text1"/>
        </w:rPr>
        <w:t>9</w:t>
      </w:r>
      <w:r w:rsidR="000A6713">
        <w:rPr>
          <w:b/>
          <w:color w:val="000000" w:themeColor="text1"/>
        </w:rPr>
        <w:t>.RPOWŚ</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E93268">
      <w:pPr>
        <w:spacing w:line="360" w:lineRule="auto"/>
        <w:rPr>
          <w:b/>
          <w:bCs/>
          <w:i/>
          <w:iCs/>
          <w:sz w:val="24"/>
          <w:szCs w:val="24"/>
        </w:rPr>
      </w:pPr>
      <w:r w:rsidRPr="000A6713">
        <w:rPr>
          <w:b/>
          <w:bCs/>
          <w:i/>
          <w:iCs/>
          <w:sz w:val="24"/>
          <w:szCs w:val="24"/>
        </w:rPr>
        <w:t xml:space="preserve">„Przebudowa infrastruktury drogowej na ul. Plac Kościelny, ul. Ogrodowej, ul. Zamkowej i ul. Spacerowej oraz na terenie osiedla mieszkaniowego w </w:t>
      </w:r>
      <w:proofErr w:type="spellStart"/>
      <w:r w:rsidRPr="000A6713">
        <w:rPr>
          <w:b/>
          <w:bCs/>
          <w:i/>
          <w:iCs/>
          <w:sz w:val="24"/>
          <w:szCs w:val="24"/>
        </w:rPr>
        <w:t>Fałkowie”</w:t>
      </w:r>
    </w:p>
    <w:p w:rsidR="00E93268" w:rsidRPr="009A57EE" w:rsidRDefault="00E93268" w:rsidP="00E93268">
      <w:pPr>
        <w:spacing w:line="360" w:lineRule="auto"/>
        <w:rPr>
          <w:sz w:val="22"/>
          <w:szCs w:val="22"/>
        </w:rPr>
      </w:pPr>
      <w:r w:rsidRPr="009A57EE">
        <w:rPr>
          <w:sz w:val="22"/>
          <w:szCs w:val="22"/>
        </w:rPr>
        <w:t>Uwag</w:t>
      </w:r>
      <w:proofErr w:type="spellEnd"/>
      <w:r w:rsidRPr="009A57EE">
        <w:rPr>
          <w:sz w:val="22"/>
          <w:szCs w:val="22"/>
        </w:rPr>
        <w:t xml:space="preserve">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 xml:space="preserve">jednej inwestycji polegającej na budowie i/lub przebudowie i/lub modernizacji i/lub remoncie infrastruktury drogowej, </w:t>
      </w:r>
      <w:proofErr w:type="spellStart"/>
      <w:r w:rsidR="00412F70" w:rsidRPr="00412F70">
        <w:rPr>
          <w:color w:val="000000" w:themeColor="text1"/>
          <w:szCs w:val="22"/>
          <w:u w:val="single"/>
        </w:rPr>
        <w:t>tj.drogi</w:t>
      </w:r>
      <w:proofErr w:type="spellEnd"/>
      <w:r w:rsidR="00412F70" w:rsidRPr="00412F70">
        <w:rPr>
          <w:color w:val="000000" w:themeColor="text1"/>
          <w:szCs w:val="22"/>
          <w:u w:val="single"/>
        </w:rPr>
        <w:t xml:space="preserve"> o nawierzchni asfaltowej z chodnikami bądź parkingami z kostki brukowej o wartości co najmniej 500.000,00 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FE5D4B">
        <w:tc>
          <w:tcPr>
            <w:tcW w:w="1396"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drawing>
                <wp:inline distT="0" distB="0" distL="0" distR="0">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color w:val="000000" w:themeColor="text1"/>
                <w:sz w:val="22"/>
                <w:szCs w:val="22"/>
              </w:rPr>
              <w:drawing>
                <wp:inline distT="0" distB="0" distL="0" distR="0">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color w:val="000000" w:themeColor="text1"/>
                <w:sz w:val="22"/>
                <w:szCs w:val="22"/>
              </w:rPr>
              <w:drawing>
                <wp:inline distT="0" distB="0" distL="0" distR="0">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993DDF" w:rsidRDefault="00993DDF" w:rsidP="00636037">
      <w:pPr>
        <w:widowControl w:val="0"/>
        <w:autoSpaceDE w:val="0"/>
        <w:autoSpaceDN w:val="0"/>
        <w:adjustRightInd w:val="0"/>
        <w:rPr>
          <w:color w:val="000000" w:themeColor="text1"/>
          <w:sz w:val="22"/>
          <w:szCs w:val="22"/>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0A6713">
        <w:rPr>
          <w:b/>
          <w:color w:val="000000"/>
        </w:rPr>
        <w:t>4</w:t>
      </w:r>
      <w:r w:rsidR="00507EE8">
        <w:rPr>
          <w:b/>
          <w:color w:val="000000"/>
        </w:rPr>
        <w:t>.2019</w:t>
      </w:r>
      <w:r w:rsidR="000A6713">
        <w:rPr>
          <w:b/>
          <w:color w:val="000000"/>
        </w:rPr>
        <w:t>.RPOWŚ</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0A6713" w:rsidRDefault="000A6713" w:rsidP="00DF3AED">
      <w:pPr>
        <w:spacing w:line="360" w:lineRule="auto"/>
        <w:rPr>
          <w:b/>
          <w:bCs/>
          <w:i/>
          <w:iCs/>
          <w:sz w:val="24"/>
          <w:szCs w:val="24"/>
        </w:rPr>
      </w:pPr>
      <w:r w:rsidRPr="000A6713">
        <w:rPr>
          <w:b/>
          <w:bCs/>
          <w:i/>
          <w:iCs/>
          <w:sz w:val="24"/>
          <w:szCs w:val="24"/>
        </w:rPr>
        <w:t xml:space="preserve">„Przebudowa infrastruktury drogowej na ul. Plac Kościelny, ul. Ogrodowej, ul. Zamkowej i ul. Spacerowej oraz na terenie osiedla mieszkaniowego w </w:t>
      </w:r>
      <w:proofErr w:type="spellStart"/>
      <w:r w:rsidRPr="000A6713">
        <w:rPr>
          <w:b/>
          <w:bCs/>
          <w:i/>
          <w:iCs/>
          <w:sz w:val="24"/>
          <w:szCs w:val="24"/>
        </w:rPr>
        <w:t>Fałkowie”</w:t>
      </w:r>
    </w:p>
    <w:p w:rsidR="00DF3AED" w:rsidRPr="009A57EE" w:rsidRDefault="00DF3AED" w:rsidP="00DF3AED">
      <w:pPr>
        <w:spacing w:line="360" w:lineRule="auto"/>
        <w:rPr>
          <w:sz w:val="22"/>
          <w:szCs w:val="22"/>
        </w:rPr>
      </w:pPr>
      <w:r w:rsidRPr="009A57EE">
        <w:rPr>
          <w:sz w:val="22"/>
          <w:szCs w:val="22"/>
        </w:rPr>
        <w:t>Uwag</w:t>
      </w:r>
      <w:proofErr w:type="spellEnd"/>
      <w:r w:rsidRPr="009A57EE">
        <w:rPr>
          <w:sz w:val="22"/>
          <w:szCs w:val="22"/>
        </w:rPr>
        <w:t xml:space="preserve">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rsidTr="00FE5D4B">
        <w:tc>
          <w:tcPr>
            <w:tcW w:w="1621"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color w:val="000000"/>
              </w:rPr>
              <w:lastRenderedPageBreak/>
              <w:drawing>
                <wp:inline distT="0" distB="0" distL="0" distR="0" wp14:anchorId="1FAF416D" wp14:editId="216DBEBA">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color w:val="000000"/>
              </w:rPr>
              <w:drawing>
                <wp:inline distT="0" distB="0" distL="0" distR="0" wp14:anchorId="0A3AAE08" wp14:editId="08330ED3">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color w:val="000000"/>
              </w:rPr>
              <w:drawing>
                <wp:inline distT="0" distB="0" distL="0" distR="0" wp14:anchorId="29CC64AF" wp14:editId="213F519C">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color w:val="000000"/>
              </w:rPr>
              <w:drawing>
                <wp:inline distT="0" distB="0" distL="0" distR="0" wp14:anchorId="152AA4D1" wp14:editId="2001A2EB">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406428" w:rsidRPr="009A57EE" w:rsidRDefault="00406428" w:rsidP="00406428">
      <w:pPr>
        <w:widowControl w:val="0"/>
        <w:autoSpaceDE w:val="0"/>
        <w:autoSpaceDN w:val="0"/>
        <w:adjustRightInd w:val="0"/>
        <w:rPr>
          <w:b/>
          <w:bCs/>
          <w:color w:val="000000"/>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0A6713">
        <w:rPr>
          <w:color w:val="000000"/>
        </w:rPr>
        <w:t>4</w:t>
      </w:r>
      <w:r w:rsidR="00507EE8">
        <w:rPr>
          <w:color w:val="000000"/>
        </w:rPr>
        <w:t>.2019</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 xml:space="preserve">Dz. U. z 2018 r. poz. 1986 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0A6713" w:rsidRPr="000A6713">
        <w:rPr>
          <w:b/>
          <w:bCs/>
          <w:iCs/>
        </w:rPr>
        <w:t>„</w:t>
      </w:r>
      <w:bookmarkStart w:id="8" w:name="_Hlk7696792"/>
      <w:r w:rsidR="000A6713" w:rsidRPr="000A6713">
        <w:rPr>
          <w:b/>
          <w:bCs/>
          <w:iCs/>
        </w:rPr>
        <w:t>Przebudowa infrastruktury drogowej na ul. Plac Kościelny, ul. Ogrodowej, ul. Zamkowej i ul. Spacerowej oraz na terenie osiedla mieszkaniowego w Fałkowie</w:t>
      </w:r>
      <w:bookmarkEnd w:id="8"/>
      <w:r w:rsidR="000A6713" w:rsidRPr="000A6713">
        <w:rPr>
          <w:b/>
          <w:bCs/>
          <w:iCs/>
        </w:rPr>
        <w:t>”</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34CD4" w:rsidRPr="00BA4CD3" w:rsidRDefault="00734CD4" w:rsidP="000609DA">
      <w:pPr>
        <w:widowControl w:val="0"/>
        <w:ind w:left="180" w:hanging="180"/>
        <w:jc w:val="both"/>
        <w:rPr>
          <w:snapToGrid w:val="0"/>
        </w:rPr>
      </w:pP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 xml:space="preserve">Przekazanie placu </w:t>
      </w:r>
      <w:proofErr w:type="spellStart"/>
      <w:r w:rsidRPr="00CA47CD">
        <w:rPr>
          <w:color w:val="000000"/>
        </w:rPr>
        <w:t>budowy:</w:t>
      </w:r>
      <w:r>
        <w:rPr>
          <w:bCs/>
          <w:color w:val="000000" w:themeColor="text1"/>
        </w:rPr>
        <w:t>do</w:t>
      </w:r>
      <w:proofErr w:type="spellEnd"/>
      <w:r>
        <w:rPr>
          <w:bCs/>
          <w:color w:val="000000" w:themeColor="text1"/>
        </w:rPr>
        <w:t xml:space="preserve">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lastRenderedPageBreak/>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dokumentacji powykonawczej</w:t>
      </w:r>
      <w:r>
        <w:rPr>
          <w:color w:val="000000"/>
        </w:rPr>
        <w:t xml:space="preserve">– 1 </w:t>
      </w:r>
      <w:proofErr w:type="spellStart"/>
      <w:r>
        <w:rPr>
          <w:color w:val="000000"/>
        </w:rPr>
        <w:t>kpl</w:t>
      </w:r>
      <w:proofErr w:type="spellEnd"/>
      <w:r w:rsidRPr="00272D42">
        <w:rPr>
          <w:color w:val="000000"/>
        </w:rPr>
        <w:t>.</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301F8">
        <w:rPr>
          <w:color w:val="000000"/>
        </w:rPr>
        <w:t>3</w:t>
      </w:r>
      <w:r w:rsidR="000A6713">
        <w:rPr>
          <w:color w:val="000000"/>
        </w:rPr>
        <w:t>1</w:t>
      </w:r>
      <w:r w:rsidR="00B301F8">
        <w:rPr>
          <w:color w:val="000000"/>
        </w:rPr>
        <w:t>.</w:t>
      </w:r>
      <w:r w:rsidR="000A6713">
        <w:rPr>
          <w:color w:val="000000"/>
        </w:rPr>
        <w:t>10</w:t>
      </w:r>
      <w:r w:rsidR="00B301F8">
        <w:rPr>
          <w:color w:val="000000"/>
        </w:rPr>
        <w:t>.201</w:t>
      </w:r>
      <w:r w:rsidR="00507EE8">
        <w:rPr>
          <w:color w:val="000000"/>
        </w:rPr>
        <w:t>9</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 xml:space="preserve">Dostawy oraz roboty budowlane i montażowe, dla których strony ustalą odbiory częściowe, wykonawca każdorazowo zgłosi, a zamawiający dokona ich odbioru bezzwłocznie, tak aby nie spowodować przerw w </w:t>
      </w:r>
      <w:r w:rsidRPr="00272D42">
        <w:rPr>
          <w:color w:val="000000"/>
        </w:rPr>
        <w:lastRenderedPageBreak/>
        <w:t>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253D12">
        <w:t>................………...złotych).</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 xml:space="preserve">Zamawiający zastrzega sobie możliwość ograniczenia przedmiotu zamówienia o część robót, których wykonanie stało się zbędne lub nieuzasadnione z przyczyn ekonomicznych lub gospodarczych. W takim </w:t>
      </w:r>
      <w:r w:rsidRPr="00272D42">
        <w:lastRenderedPageBreak/>
        <w:t>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w:t>
      </w:r>
      <w:r w:rsidRPr="00E2674E">
        <w:rPr>
          <w:color w:val="000000"/>
        </w:rPr>
        <w:lastRenderedPageBreak/>
        <w:t xml:space="preserve">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lastRenderedPageBreak/>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zmiany umowy o podwykonawstwo w zakresie terminu zapłaty, po zgłoszeniu przez </w:t>
      </w:r>
      <w:r w:rsidRPr="00272D42">
        <w:rPr>
          <w:rFonts w:ascii="Arial" w:hAnsi="Arial"/>
          <w:color w:val="000000"/>
          <w:sz w:val="20"/>
          <w:szCs w:val="20"/>
        </w:rPr>
        <w:lastRenderedPageBreak/>
        <w:t>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rsidTr="00FE5D4B">
        <w:tc>
          <w:tcPr>
            <w:tcW w:w="1396" w:type="pct"/>
            <w:shd w:val="clear" w:color="auto" w:fill="FFFFFF"/>
          </w:tcPr>
          <w:p w:rsidR="0096387E" w:rsidRPr="0096387E" w:rsidRDefault="0096387E" w:rsidP="0096387E">
            <w:pPr>
              <w:jc w:val="right"/>
              <w:rPr>
                <w:color w:val="000000"/>
              </w:rPr>
            </w:pPr>
            <w:r w:rsidRPr="0096387E">
              <w:rPr>
                <w:color w:val="000000"/>
              </w:rPr>
              <w:lastRenderedPageBreak/>
              <w:drawing>
                <wp:inline distT="0" distB="0" distL="0" distR="0">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96387E" w:rsidRPr="0096387E" w:rsidRDefault="0096387E" w:rsidP="0096387E">
            <w:pPr>
              <w:jc w:val="right"/>
              <w:rPr>
                <w:color w:val="000000"/>
              </w:rPr>
            </w:pPr>
            <w:r w:rsidRPr="0096387E">
              <w:rPr>
                <w:color w:val="000000"/>
              </w:rPr>
              <w:t xml:space="preserve">             </w:t>
            </w:r>
            <w:r w:rsidRPr="0096387E">
              <w:rPr>
                <w:color w:val="000000"/>
              </w:rPr>
              <w:drawing>
                <wp:inline distT="0" distB="0" distL="0" distR="0">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96387E" w:rsidRPr="0096387E" w:rsidRDefault="0096387E" w:rsidP="0096387E">
            <w:pPr>
              <w:jc w:val="right"/>
              <w:rPr>
                <w:color w:val="000000"/>
              </w:rPr>
            </w:pPr>
            <w:r w:rsidRPr="0096387E">
              <w:rPr>
                <w:color w:val="000000"/>
              </w:rPr>
              <w:t xml:space="preserve">   </w:t>
            </w:r>
            <w:r w:rsidRPr="0096387E">
              <w:rPr>
                <w:color w:val="000000"/>
              </w:rPr>
              <w:drawing>
                <wp:inline distT="0" distB="0" distL="0" distR="0">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E24B38">
        <w:rPr>
          <w:b/>
          <w:color w:val="000000"/>
        </w:rPr>
        <w:t>4</w:t>
      </w:r>
      <w:r>
        <w:rPr>
          <w:b/>
          <w:color w:val="000000"/>
        </w:rPr>
        <w:t>.201</w:t>
      </w:r>
      <w:r w:rsidR="00253D12">
        <w:rPr>
          <w:b/>
          <w:color w:val="000000"/>
        </w:rPr>
        <w:t>9</w:t>
      </w:r>
      <w:r w:rsidR="00E24B38">
        <w:rPr>
          <w:b/>
          <w:color w:val="000000"/>
        </w:rPr>
        <w:t>.RPOWŚ</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E24B38" w:rsidRPr="00E24B38">
        <w:rPr>
          <w:b/>
          <w:bCs/>
          <w:i/>
          <w:iCs/>
          <w:sz w:val="24"/>
          <w:szCs w:val="24"/>
        </w:rPr>
        <w:t>Przebudowa infrastruktury drogowej na ul. Plac Kościelny, ul. Ogrodowej, ul. Zamkowej i ul. Spacerowej oraz na terenie osiedla mieszkaniowego w Fałkowie</w:t>
      </w:r>
      <w:r w:rsidR="00E24B38" w:rsidRPr="00E24B38">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p>
    <w:p w:rsidR="000609DA" w:rsidRPr="00FC7AB9" w:rsidRDefault="000609DA" w:rsidP="000609DA">
      <w:pPr>
        <w:widowControl w:val="0"/>
        <w:kinsoku w:val="0"/>
        <w:overflowPunct w:val="0"/>
        <w:autoSpaceDE w:val="0"/>
        <w:autoSpaceDN w:val="0"/>
        <w:adjustRightInd w:val="0"/>
        <w:rPr>
          <w:sz w:val="24"/>
          <w:szCs w:val="24"/>
        </w:rPr>
      </w:pP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9"/>
      <w:footerReference w:type="even" r:id="rId20"/>
      <w:footerReference w:type="default" r:id="rId21"/>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9AE" w:rsidRDefault="001559AE">
      <w:r>
        <w:separator/>
      </w:r>
    </w:p>
  </w:endnote>
  <w:endnote w:type="continuationSeparator" w:id="0">
    <w:p w:rsidR="001559AE" w:rsidRDefault="0015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Content>
      <w:p w:rsidR="00E16788" w:rsidRDefault="00E16788">
        <w:pPr>
          <w:pStyle w:val="Stopka"/>
          <w:jc w:val="center"/>
        </w:pPr>
        <w:r>
          <w:fldChar w:fldCharType="begin"/>
        </w:r>
        <w:r>
          <w:instrText>PAGE   \* MERGEFORMAT</w:instrText>
        </w:r>
        <w:r>
          <w:fldChar w:fldCharType="separate"/>
        </w:r>
        <w:r>
          <w:rPr>
            <w:noProof/>
          </w:rPr>
          <w:t>27</w:t>
        </w:r>
        <w:r>
          <w:fldChar w:fldCharType="end"/>
        </w:r>
      </w:p>
    </w:sdtContent>
  </w:sdt>
  <w:p w:rsidR="00E16788" w:rsidRDefault="00E167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Content>
      <w:p w:rsidR="00E16788" w:rsidRDefault="00E16788">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788" w:rsidRDefault="00E16788"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16788" w:rsidRDefault="00E16788">
    <w:pPr>
      <w:pStyle w:val="Stopka"/>
    </w:pPr>
  </w:p>
  <w:p w:rsidR="00E16788" w:rsidRDefault="00E16788"/>
  <w:p w:rsidR="00E16788" w:rsidRDefault="00E16788"/>
  <w:p w:rsidR="00E16788" w:rsidRDefault="00E16788"/>
  <w:p w:rsidR="00E16788" w:rsidRDefault="00E167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Content>
      <w:p w:rsidR="00E16788" w:rsidRDefault="00E16788"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9AE" w:rsidRDefault="001559AE">
      <w:r>
        <w:separator/>
      </w:r>
    </w:p>
  </w:footnote>
  <w:footnote w:type="continuationSeparator" w:id="0">
    <w:p w:rsidR="001559AE" w:rsidRDefault="001559AE">
      <w:r>
        <w:continuationSeparator/>
      </w:r>
    </w:p>
  </w:footnote>
  <w:footnote w:id="1">
    <w:p w:rsidR="00E16788" w:rsidRPr="005D6D7C" w:rsidRDefault="00E16788"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E16788" w:rsidRPr="005D6D7C" w:rsidRDefault="00E16788"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E16788" w:rsidRPr="005D6D7C" w:rsidRDefault="00E1678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E16788" w:rsidRPr="005D6D7C" w:rsidRDefault="00E1678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E16788" w:rsidRPr="005D6D7C" w:rsidRDefault="00E16788"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E16788" w:rsidRPr="005D6D7C" w:rsidRDefault="00E1678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E16788" w:rsidRPr="005D6D7C" w:rsidRDefault="00E16788"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E16788" w:rsidRPr="005D6D7C" w:rsidRDefault="00E16788"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E16788" w:rsidRPr="005D6D7C" w:rsidRDefault="00E1678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E16788" w:rsidRPr="005D6D7C" w:rsidRDefault="00E1678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E16788" w:rsidRPr="005D6D7C" w:rsidRDefault="00E16788"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E16788" w:rsidRPr="005D6D7C" w:rsidRDefault="00E16788" w:rsidP="0017674A">
      <w:pPr>
        <w:pStyle w:val="Tekstprzypisudolnego"/>
        <w:rPr>
          <w:rFonts w:ascii="Calibri" w:hAnsi="Calibri"/>
          <w:sz w:val="18"/>
          <w:szCs w:val="18"/>
        </w:rPr>
      </w:pPr>
    </w:p>
  </w:footnote>
  <w:footnote w:id="2">
    <w:p w:rsidR="00E16788" w:rsidRPr="00506618" w:rsidRDefault="00E16788"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788" w:rsidRPr="002B34B0" w:rsidRDefault="00E16788" w:rsidP="005919E9">
    <w:pPr>
      <w:widowControl w:val="0"/>
      <w:autoSpaceDE w:val="0"/>
      <w:autoSpaceDN w:val="0"/>
      <w:adjustRightInd w:val="0"/>
      <w:ind w:left="851" w:hanging="851"/>
      <w:jc w:val="both"/>
      <w:rPr>
        <w:rFonts w:ascii="Arial Narrow" w:hAnsi="Arial Narrow"/>
        <w:i/>
        <w:sz w:val="18"/>
        <w:szCs w:val="18"/>
      </w:rPr>
    </w:pPr>
  </w:p>
  <w:p w:rsidR="00E16788" w:rsidRDefault="00E16788"/>
  <w:p w:rsidR="00E16788" w:rsidRDefault="00E167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4"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5"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8"/>
  </w:num>
  <w:num w:numId="4">
    <w:abstractNumId w:val="12"/>
  </w:num>
  <w:num w:numId="5">
    <w:abstractNumId w:val="27"/>
  </w:num>
  <w:num w:numId="6">
    <w:abstractNumId w:val="42"/>
  </w:num>
  <w:num w:numId="7">
    <w:abstractNumId w:val="56"/>
  </w:num>
  <w:num w:numId="8">
    <w:abstractNumId w:val="5"/>
  </w:num>
  <w:num w:numId="9">
    <w:abstractNumId w:val="37"/>
  </w:num>
  <w:num w:numId="10">
    <w:abstractNumId w:val="53"/>
  </w:num>
  <w:num w:numId="11">
    <w:abstractNumId w:val="4"/>
  </w:num>
  <w:num w:numId="12">
    <w:abstractNumId w:val="35"/>
  </w:num>
  <w:num w:numId="13">
    <w:abstractNumId w:val="9"/>
  </w:num>
  <w:num w:numId="14">
    <w:abstractNumId w:val="52"/>
  </w:num>
  <w:num w:numId="15">
    <w:abstractNumId w:val="52"/>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4"/>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7"/>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5"/>
  </w:num>
  <w:num w:numId="58">
    <w:abstractNumId w:val="49"/>
  </w:num>
  <w:num w:numId="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6301C"/>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87E"/>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CD77-AE15-4DFC-86E7-238A5697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42</Pages>
  <Words>18481</Words>
  <Characters>110892</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129115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29</cp:revision>
  <cp:lastPrinted>2019-04-29T19:57:00Z</cp:lastPrinted>
  <dcterms:created xsi:type="dcterms:W3CDTF">2018-01-16T00:37:00Z</dcterms:created>
  <dcterms:modified xsi:type="dcterms:W3CDTF">2019-05-02T12:06:00Z</dcterms:modified>
</cp:coreProperties>
</file>